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6482DC6D"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67E79E51">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395F1E">
        <w:rPr>
          <w:b/>
          <w:sz w:val="36"/>
        </w:rPr>
        <w:t>UNDERGROUND FIBERGLASS</w:t>
      </w:r>
    </w:p>
    <w:p w14:paraId="78692EA1" w14:textId="5CB30C80" w:rsidR="00856D9C" w:rsidRDefault="00851607" w:rsidP="000D3A74">
      <w:pPr>
        <w:spacing w:after="0" w:line="240" w:lineRule="exact"/>
        <w:jc w:val="right"/>
        <w:rPr>
          <w:b/>
          <w:sz w:val="28"/>
        </w:rPr>
      </w:pPr>
      <w:r>
        <w:rPr>
          <w:b/>
          <w:sz w:val="28"/>
        </w:rPr>
        <w:t>SINGLE</w:t>
      </w:r>
      <w:r w:rsidR="00395F1E">
        <w:rPr>
          <w:b/>
          <w:sz w:val="28"/>
        </w:rPr>
        <w:t xml:space="preserve">-WALL INTERCEPTOR </w:t>
      </w:r>
      <w:r>
        <w:rPr>
          <w:b/>
          <w:sz w:val="28"/>
        </w:rPr>
        <w:t>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569D8923" w14:textId="77777777" w:rsidR="00395F1E" w:rsidRDefault="00395F1E" w:rsidP="00856D9C">
      <w:pPr>
        <w:rPr>
          <w:sz w:val="20"/>
          <w:szCs w:val="17"/>
        </w:rPr>
      </w:pPr>
      <w:r w:rsidRPr="00395F1E">
        <w:rPr>
          <w:sz w:val="20"/>
          <w:szCs w:val="17"/>
        </w:rPr>
        <w:t>The contractor shall provide single-wall fiberglass underground interceptor, in types (single, double, or triple basin) and sizes as shown on the drawings. The interceptors shall be manufactured by Containment Solutions. Interceptors shall be tested and installed with pea gravel or crushed stone or approved alternate backfill material, according to the current installation instructions (Containment Solutions’ Pub. No. INST 6001 provided with the tank).</w:t>
      </w:r>
    </w:p>
    <w:p w14:paraId="799BA8B0" w14:textId="7021AAAC" w:rsidR="00856D9C" w:rsidRPr="00856D9C" w:rsidRDefault="00856D9C" w:rsidP="00856D9C">
      <w:pPr>
        <w:rPr>
          <w:b/>
        </w:rPr>
      </w:pPr>
      <w:r w:rsidRPr="00856D9C">
        <w:rPr>
          <w:b/>
        </w:rPr>
        <w:t>LONG FORM SPECIFICATION</w:t>
      </w:r>
    </w:p>
    <w:p w14:paraId="63A373D4" w14:textId="75006A1C" w:rsidR="00856D9C" w:rsidRPr="00580F6D" w:rsidRDefault="00856D9C" w:rsidP="00CB2A88">
      <w:pPr>
        <w:pStyle w:val="ListParagraph"/>
        <w:numPr>
          <w:ilvl w:val="0"/>
          <w:numId w:val="1"/>
        </w:numPr>
        <w:spacing w:before="120" w:after="0" w:line="240" w:lineRule="auto"/>
        <w:contextualSpacing w:val="0"/>
        <w:rPr>
          <w:b/>
          <w:sz w:val="20"/>
          <w:szCs w:val="20"/>
        </w:rPr>
      </w:pPr>
      <w:r w:rsidRPr="00580F6D">
        <w:rPr>
          <w:b/>
          <w:sz w:val="20"/>
          <w:szCs w:val="20"/>
        </w:rPr>
        <w:t>GENERAL</w:t>
      </w:r>
    </w:p>
    <w:p w14:paraId="4EE2BC2B" w14:textId="77777777" w:rsidR="00395F1E" w:rsidRPr="00395F1E" w:rsidRDefault="00395F1E" w:rsidP="00CB2A88">
      <w:pPr>
        <w:pStyle w:val="ListParagraph"/>
        <w:numPr>
          <w:ilvl w:val="1"/>
          <w:numId w:val="1"/>
        </w:numPr>
        <w:spacing w:before="120" w:after="0" w:line="240" w:lineRule="auto"/>
        <w:contextualSpacing w:val="0"/>
        <w:rPr>
          <w:sz w:val="20"/>
          <w:szCs w:val="20"/>
        </w:rPr>
      </w:pPr>
      <w:r w:rsidRPr="00395F1E">
        <w:rPr>
          <w:sz w:val="20"/>
          <w:szCs w:val="20"/>
        </w:rPr>
        <w:t>Quality Assurance</w:t>
      </w:r>
    </w:p>
    <w:p w14:paraId="6B599390"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Acceptable Manufacturers: Containment Solutions, Inc., Conroe, TX</w:t>
      </w:r>
    </w:p>
    <w:p w14:paraId="667EE243"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Governing Standards</w:t>
      </w:r>
    </w:p>
    <w:p w14:paraId="2CBB145C"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UL 1316 Underwriters Laboratories, Inc., Glass Fiber Reinforced Plastic Underground Storage Tanks for Petroleum Products.</w:t>
      </w:r>
    </w:p>
    <w:p w14:paraId="2008D61B"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National Fire Protection Assoc. (NFPA 30) Flammable and Combustible Liquids Code and (NFPA 31) Standards for Installation of Oil Burning Equipment.</w:t>
      </w:r>
    </w:p>
    <w:p w14:paraId="0E0A84A1" w14:textId="77777777" w:rsidR="00395F1E" w:rsidRPr="00395F1E" w:rsidRDefault="00395F1E" w:rsidP="00CB2A88">
      <w:pPr>
        <w:pStyle w:val="ListParagraph"/>
        <w:numPr>
          <w:ilvl w:val="1"/>
          <w:numId w:val="1"/>
        </w:numPr>
        <w:spacing w:before="120" w:after="0" w:line="240" w:lineRule="auto"/>
        <w:contextualSpacing w:val="0"/>
        <w:rPr>
          <w:sz w:val="20"/>
          <w:szCs w:val="20"/>
        </w:rPr>
      </w:pPr>
      <w:r w:rsidRPr="00395F1E">
        <w:rPr>
          <w:sz w:val="20"/>
          <w:szCs w:val="20"/>
        </w:rPr>
        <w:t>Submittals</w:t>
      </w:r>
    </w:p>
    <w:p w14:paraId="448EDE84" w14:textId="07BE95D4"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Shop Drawings: Contractors shall submit</w:t>
      </w:r>
      <w:r>
        <w:rPr>
          <w:sz w:val="20"/>
          <w:szCs w:val="20"/>
        </w:rPr>
        <w:t>_______</w:t>
      </w:r>
      <w:r w:rsidRPr="00395F1E">
        <w:rPr>
          <w:sz w:val="20"/>
          <w:szCs w:val="20"/>
        </w:rPr>
        <w:t>copies of shop drawings for each tank. Drawings shall include all critical dimensions and show locations of all fittings and accessories, i.e., manways, hold-down straps, etc.</w:t>
      </w:r>
    </w:p>
    <w:p w14:paraId="37FB597A" w14:textId="7B8D218E"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Catalog Data: Contractor shall submit</w:t>
      </w:r>
      <w:r>
        <w:rPr>
          <w:sz w:val="20"/>
          <w:szCs w:val="20"/>
        </w:rPr>
        <w:t>_______</w:t>
      </w:r>
      <w:r w:rsidRPr="00395F1E">
        <w:rPr>
          <w:sz w:val="20"/>
          <w:szCs w:val="20"/>
        </w:rPr>
        <w:t>copies of manufacturer’s literature.</w:t>
      </w:r>
    </w:p>
    <w:p w14:paraId="40A469E6" w14:textId="61D73EBD" w:rsidR="00395F1E" w:rsidRPr="00395F1E" w:rsidRDefault="00395F1E" w:rsidP="00CB2A88">
      <w:pPr>
        <w:pStyle w:val="ListParagraph"/>
        <w:numPr>
          <w:ilvl w:val="2"/>
          <w:numId w:val="1"/>
        </w:numPr>
        <w:spacing w:before="120" w:after="0" w:line="240" w:lineRule="auto"/>
        <w:contextualSpacing w:val="0"/>
        <w:jc w:val="both"/>
        <w:rPr>
          <w:sz w:val="20"/>
          <w:szCs w:val="20"/>
        </w:rPr>
      </w:pPr>
      <w:r w:rsidRPr="00395F1E">
        <w:rPr>
          <w:sz w:val="20"/>
          <w:szCs w:val="20"/>
        </w:rPr>
        <w:t>Installation Instructions: Contractors shall submit</w:t>
      </w:r>
      <w:r>
        <w:rPr>
          <w:sz w:val="20"/>
          <w:szCs w:val="20"/>
        </w:rPr>
        <w:t>______</w:t>
      </w:r>
      <w:r w:rsidRPr="00395F1E">
        <w:rPr>
          <w:sz w:val="20"/>
          <w:szCs w:val="20"/>
        </w:rPr>
        <w:t>copies of manufacturer’s latest installation instructions.</w:t>
      </w:r>
    </w:p>
    <w:p w14:paraId="7E7F6874" w14:textId="5047BB79"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Calibration Charts: Contractors shall submit</w:t>
      </w:r>
      <w:r>
        <w:rPr>
          <w:sz w:val="20"/>
          <w:szCs w:val="20"/>
        </w:rPr>
        <w:t>______</w:t>
      </w:r>
      <w:r w:rsidRPr="00395F1E">
        <w:rPr>
          <w:sz w:val="20"/>
          <w:szCs w:val="20"/>
        </w:rPr>
        <w:t>copies of manufacturer’s latest calibration charts.</w:t>
      </w:r>
    </w:p>
    <w:p w14:paraId="16C895EF" w14:textId="63D5A076" w:rsidR="00BA5C78" w:rsidRPr="00395F1E" w:rsidRDefault="00856D9C" w:rsidP="00CB2A88">
      <w:pPr>
        <w:pStyle w:val="ListParagraph"/>
        <w:numPr>
          <w:ilvl w:val="0"/>
          <w:numId w:val="1"/>
        </w:numPr>
        <w:spacing w:before="120" w:after="0" w:line="240" w:lineRule="auto"/>
        <w:contextualSpacing w:val="0"/>
        <w:rPr>
          <w:b/>
          <w:sz w:val="20"/>
          <w:szCs w:val="20"/>
        </w:rPr>
      </w:pPr>
      <w:r w:rsidRPr="00580F6D">
        <w:rPr>
          <w:b/>
          <w:sz w:val="20"/>
          <w:szCs w:val="20"/>
        </w:rPr>
        <w:t>PRODUCTS</w:t>
      </w:r>
      <w:r w:rsidR="00BA5C78" w:rsidRPr="00395F1E">
        <w:rPr>
          <w:sz w:val="20"/>
          <w:szCs w:val="20"/>
        </w:rPr>
        <w:t xml:space="preserve"> </w:t>
      </w:r>
    </w:p>
    <w:p w14:paraId="1C3C1A06" w14:textId="77777777" w:rsidR="00395F1E" w:rsidRPr="00395F1E" w:rsidRDefault="00395F1E" w:rsidP="00CB2A88">
      <w:pPr>
        <w:pStyle w:val="ListParagraph"/>
        <w:numPr>
          <w:ilvl w:val="1"/>
          <w:numId w:val="1"/>
        </w:numPr>
        <w:spacing w:before="120" w:after="0" w:line="240" w:lineRule="auto"/>
        <w:contextualSpacing w:val="0"/>
        <w:rPr>
          <w:sz w:val="20"/>
          <w:szCs w:val="20"/>
        </w:rPr>
      </w:pPr>
      <w:r w:rsidRPr="00395F1E">
        <w:rPr>
          <w:sz w:val="20"/>
          <w:szCs w:val="20"/>
        </w:rPr>
        <w:t>Single-Wall Interceptor Tanks</w:t>
      </w:r>
    </w:p>
    <w:p w14:paraId="48BF2A00" w14:textId="322FCB81"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Provide single-wall fiberglass reinforced plastic underground</w:t>
      </w:r>
      <w:r>
        <w:rPr>
          <w:sz w:val="20"/>
          <w:szCs w:val="20"/>
        </w:rPr>
        <w:t>___________</w:t>
      </w:r>
      <w:r w:rsidRPr="00395F1E">
        <w:rPr>
          <w:sz w:val="20"/>
          <w:szCs w:val="20"/>
        </w:rPr>
        <w:t>basin interceptor tank with fittings and accessories as denoted on the drawings.</w:t>
      </w:r>
    </w:p>
    <w:p w14:paraId="68BB2953"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Loading Conditions - Tanks shall meet the following design criteria:</w:t>
      </w:r>
    </w:p>
    <w:p w14:paraId="6F2D417F"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External hydrostatic pressure: Buried in ground with 7’ of over burden over the top of the tank, the excavation fully flooded and a safety factor of 5:1 against general buckling.</w:t>
      </w:r>
    </w:p>
    <w:p w14:paraId="36369801"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 xml:space="preserve">Surface Loads: When installed according to manufacturer’s current installation instructions, tanks shall withstand surface HS- 20 axle loads (32,000 </w:t>
      </w:r>
      <w:proofErr w:type="spellStart"/>
      <w:r w:rsidRPr="00395F1E">
        <w:rPr>
          <w:sz w:val="20"/>
          <w:szCs w:val="20"/>
        </w:rPr>
        <w:t>lbs</w:t>
      </w:r>
      <w:proofErr w:type="spellEnd"/>
      <w:r w:rsidRPr="00395F1E">
        <w:rPr>
          <w:sz w:val="20"/>
          <w:szCs w:val="20"/>
        </w:rPr>
        <w:t>/axle).</w:t>
      </w:r>
    </w:p>
    <w:p w14:paraId="6772235F"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 xml:space="preserve">Internal Load: Primary and secondary tanks shall withstand 5 </w:t>
      </w:r>
      <w:proofErr w:type="spellStart"/>
      <w:r w:rsidRPr="00395F1E">
        <w:rPr>
          <w:sz w:val="20"/>
          <w:szCs w:val="20"/>
        </w:rPr>
        <w:t>psig</w:t>
      </w:r>
      <w:proofErr w:type="spellEnd"/>
      <w:r w:rsidRPr="00395F1E">
        <w:rPr>
          <w:sz w:val="20"/>
          <w:szCs w:val="20"/>
        </w:rPr>
        <w:t xml:space="preserve"> (35kPa), or 3 </w:t>
      </w:r>
      <w:proofErr w:type="spellStart"/>
      <w:r w:rsidRPr="00395F1E">
        <w:rPr>
          <w:sz w:val="20"/>
          <w:szCs w:val="20"/>
        </w:rPr>
        <w:t>psig</w:t>
      </w:r>
      <w:proofErr w:type="spellEnd"/>
      <w:r w:rsidRPr="00395F1E">
        <w:rPr>
          <w:sz w:val="20"/>
          <w:szCs w:val="20"/>
        </w:rPr>
        <w:t xml:space="preserve"> for 12’ diameter tanks, air pressure test with 5:1 safety factor.</w:t>
      </w:r>
    </w:p>
    <w:p w14:paraId="20C3D884"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Tanks shall be designed to support accessory equipment such as heating coils, ladders, drop tubes, etc. when installed according to manufacturer’s recommendations and limitations.</w:t>
      </w:r>
    </w:p>
    <w:p w14:paraId="1456141A"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Product Storage Requirements</w:t>
      </w:r>
    </w:p>
    <w:p w14:paraId="454DDC3F"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Tank must be separately vented at the influent tee, interceptor chamber and at the effluent tee.</w:t>
      </w:r>
    </w:p>
    <w:p w14:paraId="57073C92"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 xml:space="preserve">Tank shall </w:t>
      </w:r>
      <w:proofErr w:type="gramStart"/>
      <w:r w:rsidRPr="00395F1E">
        <w:rPr>
          <w:sz w:val="20"/>
          <w:szCs w:val="20"/>
        </w:rPr>
        <w:t>be capable of storing</w:t>
      </w:r>
      <w:proofErr w:type="gramEnd"/>
      <w:r w:rsidRPr="00395F1E">
        <w:rPr>
          <w:sz w:val="20"/>
          <w:szCs w:val="20"/>
        </w:rPr>
        <w:t xml:space="preserve"> liquids with specific gravity of up to 1.1.</w:t>
      </w:r>
    </w:p>
    <w:p w14:paraId="4BAB8528"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 xml:space="preserve">Tank shall </w:t>
      </w:r>
      <w:proofErr w:type="gramStart"/>
      <w:r w:rsidRPr="00395F1E">
        <w:rPr>
          <w:sz w:val="20"/>
          <w:szCs w:val="20"/>
        </w:rPr>
        <w:t>be capable of storing</w:t>
      </w:r>
      <w:proofErr w:type="gramEnd"/>
      <w:r w:rsidRPr="00395F1E">
        <w:rPr>
          <w:sz w:val="20"/>
          <w:szCs w:val="20"/>
        </w:rPr>
        <w:t xml:space="preserve"> grease and oils at temperatures not to exceed 150ºF at the tank interior face. Operating temperatures of the influent oil/water mixture shall range from 40° F to 150° F.</w:t>
      </w:r>
    </w:p>
    <w:p w14:paraId="0E201A63"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lastRenderedPageBreak/>
        <w:t>Tank shall be chemically inert to petroleum products.</w:t>
      </w:r>
    </w:p>
    <w:p w14:paraId="00A10D0E"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Materials</w:t>
      </w:r>
    </w:p>
    <w:p w14:paraId="3D7E7155"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 xml:space="preserve">The tank shall be manufactured as a matrix of premium resin, glass fibers and </w:t>
      </w:r>
      <w:proofErr w:type="spellStart"/>
      <w:r w:rsidRPr="00395F1E">
        <w:rPr>
          <w:sz w:val="20"/>
          <w:szCs w:val="20"/>
        </w:rPr>
        <w:t>silane</w:t>
      </w:r>
      <w:proofErr w:type="spellEnd"/>
      <w:r w:rsidRPr="00395F1E">
        <w:rPr>
          <w:sz w:val="20"/>
          <w:szCs w:val="20"/>
        </w:rPr>
        <w:t>-treated silica that together result in a composite providing improved corrosion protection.</w:t>
      </w:r>
    </w:p>
    <w:p w14:paraId="36CE99E8"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Tank inner wall shall be fabricated against a mold to produce a non-air inhibited and high gloss laminate to provide a fully cured inner surface without the need for wax coats, a low coefficient of friction and a natural resistance to the build-up of algae or other contamination on the surface. Wax and wax resin coatings cannot be used to achieve full surface cure on tank shells and endcaps.</w:t>
      </w:r>
    </w:p>
    <w:p w14:paraId="2EF317EC"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Capacity and Dimensional Requirements</w:t>
      </w:r>
    </w:p>
    <w:p w14:paraId="3EE98CE1" w14:textId="5A847CB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Nominal capacity of the tank shall be</w:t>
      </w:r>
      <w:r>
        <w:rPr>
          <w:sz w:val="20"/>
          <w:szCs w:val="20"/>
        </w:rPr>
        <w:t>_________</w:t>
      </w:r>
      <w:r w:rsidRPr="00395F1E">
        <w:rPr>
          <w:sz w:val="20"/>
          <w:szCs w:val="20"/>
        </w:rPr>
        <w:t>gallons.</w:t>
      </w:r>
    </w:p>
    <w:p w14:paraId="20CE6CE8" w14:textId="1B653D7A"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Nominal outside diameter of the tank shall be</w:t>
      </w:r>
      <w:r>
        <w:rPr>
          <w:sz w:val="20"/>
          <w:szCs w:val="20"/>
        </w:rPr>
        <w:t>__________</w:t>
      </w:r>
      <w:r w:rsidRPr="00395F1E">
        <w:rPr>
          <w:sz w:val="20"/>
          <w:szCs w:val="20"/>
        </w:rPr>
        <w:t>feet.</w:t>
      </w:r>
    </w:p>
    <w:p w14:paraId="2A34B99A" w14:textId="7556FB0E"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Nominal overall length of the tank shall be</w:t>
      </w:r>
      <w:r>
        <w:rPr>
          <w:sz w:val="20"/>
          <w:szCs w:val="20"/>
        </w:rPr>
        <w:t>__________</w:t>
      </w:r>
      <w:r w:rsidRPr="00395F1E">
        <w:rPr>
          <w:sz w:val="20"/>
          <w:szCs w:val="20"/>
        </w:rPr>
        <w:t>feet.</w:t>
      </w:r>
    </w:p>
    <w:p w14:paraId="77D9BBD7" w14:textId="77777777" w:rsidR="00BA5C78" w:rsidRPr="00BA5C78" w:rsidRDefault="00BA5C78" w:rsidP="00CB2A88">
      <w:pPr>
        <w:pStyle w:val="ListParagraph"/>
        <w:numPr>
          <w:ilvl w:val="1"/>
          <w:numId w:val="1"/>
        </w:numPr>
        <w:spacing w:before="120" w:after="0" w:line="240" w:lineRule="auto"/>
        <w:contextualSpacing w:val="0"/>
        <w:rPr>
          <w:sz w:val="20"/>
          <w:szCs w:val="20"/>
        </w:rPr>
      </w:pPr>
      <w:r w:rsidRPr="00BA5C78">
        <w:rPr>
          <w:sz w:val="20"/>
          <w:szCs w:val="20"/>
        </w:rPr>
        <w:t>Accessories</w:t>
      </w:r>
    </w:p>
    <w:p w14:paraId="7C32A2F3"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 xml:space="preserve">Provide fiberglass anchor straps, turnbuckles and concrete </w:t>
      </w:r>
      <w:proofErr w:type="spellStart"/>
      <w:r w:rsidRPr="00395F1E">
        <w:rPr>
          <w:sz w:val="20"/>
          <w:szCs w:val="20"/>
        </w:rPr>
        <w:t>deadmen</w:t>
      </w:r>
      <w:proofErr w:type="spellEnd"/>
      <w:r w:rsidRPr="00395F1E">
        <w:rPr>
          <w:sz w:val="20"/>
          <w:szCs w:val="20"/>
        </w:rPr>
        <w:t xml:space="preserve"> as provided by tank manufacturer.</w:t>
      </w:r>
    </w:p>
    <w:p w14:paraId="3DA24D3F"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Manway Extensions</w:t>
      </w:r>
    </w:p>
    <w:p w14:paraId="167A453A"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Provide fiberglass reinforced plastic manway extensions as shown on the drawings.</w:t>
      </w:r>
    </w:p>
    <w:p w14:paraId="6BBE85A7" w14:textId="7D356882"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The height for the manway extensions shall be</w:t>
      </w:r>
      <w:r w:rsidR="00CB2A88">
        <w:rPr>
          <w:sz w:val="20"/>
          <w:szCs w:val="20"/>
        </w:rPr>
        <w:t>__________</w:t>
      </w:r>
      <w:r w:rsidRPr="00395F1E">
        <w:rPr>
          <w:sz w:val="20"/>
          <w:szCs w:val="20"/>
        </w:rPr>
        <w:t>feet high.</w:t>
      </w:r>
    </w:p>
    <w:p w14:paraId="071A51BB"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If manway extensions are shown on drawings, the Contractor is to furnish the correct diameter and length.</w:t>
      </w:r>
    </w:p>
    <w:p w14:paraId="3D5818C7" w14:textId="2CFAECEC" w:rsidR="00395F1E" w:rsidRPr="00CB2A88" w:rsidRDefault="00395F1E" w:rsidP="00CB2A88">
      <w:pPr>
        <w:pStyle w:val="ListParagraph"/>
        <w:numPr>
          <w:ilvl w:val="2"/>
          <w:numId w:val="1"/>
        </w:numPr>
        <w:spacing w:before="120" w:after="0" w:line="240" w:lineRule="auto"/>
        <w:contextualSpacing w:val="0"/>
        <w:rPr>
          <w:sz w:val="20"/>
          <w:szCs w:val="20"/>
        </w:rPr>
      </w:pPr>
      <w:r w:rsidRPr="00CB2A88">
        <w:rPr>
          <w:sz w:val="20"/>
          <w:szCs w:val="20"/>
        </w:rPr>
        <w:t>Flanged Manways</w:t>
      </w:r>
    </w:p>
    <w:p w14:paraId="77BB5B5D"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The standard manway is 22" ID.</w:t>
      </w:r>
    </w:p>
    <w:p w14:paraId="69ACED27"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All manways will be furnished complete with U.L. listed gaskets, bolts and covers.</w:t>
      </w:r>
    </w:p>
    <w:p w14:paraId="2A12E070"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Location — see standard tank drawings.</w:t>
      </w:r>
    </w:p>
    <w:p w14:paraId="3138F86A"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Manway risers 48" in diameter and 42" high are optional to provide access to the manway lid. A 24" x 24" galvanized street box with a cover must be provided by contractor for at-grade installation.</w:t>
      </w:r>
    </w:p>
    <w:p w14:paraId="719EB82C"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Tank Lifting Lugs</w:t>
      </w:r>
    </w:p>
    <w:p w14:paraId="710C5CA1"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Provide lifting lug(s) on all tanks.</w:t>
      </w:r>
    </w:p>
    <w:p w14:paraId="024A7504"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Tangential Nozzles</w:t>
      </w:r>
    </w:p>
    <w:p w14:paraId="7D77DCE9"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Shall be installed on the heads of the tank for inlet and outlet flows and shall be sized in accordance with the manufacturers designed flow rates. Connection to nozzles shall be made with flexible connectors.</w:t>
      </w:r>
    </w:p>
    <w:p w14:paraId="7A62DB44"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Transfer Pipes</w:t>
      </w:r>
    </w:p>
    <w:p w14:paraId="3D82C3F4"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Shall match the diameter of the inlet and outlet nozzles.</w:t>
      </w:r>
    </w:p>
    <w:p w14:paraId="5CA4320B"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t>Optional Fittings</w:t>
      </w:r>
    </w:p>
    <w:p w14:paraId="2220B800"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All standard threaded fittings are carbon steel NPT half couplings. Reducers can be used for smaller sizes where specified and provided by the contractor.</w:t>
      </w:r>
    </w:p>
    <w:p w14:paraId="5C3F8FF8"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All standard threaded fittings to the primary tank are 4" in diameter.</w:t>
      </w:r>
    </w:p>
    <w:p w14:paraId="0D83113C"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All optional inlet/outlet stub outs shall be FRP or PVC.</w:t>
      </w:r>
    </w:p>
    <w:p w14:paraId="7838F319" w14:textId="64FF0E94" w:rsid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Flexible connectors must be used on all piping connections. Piping must be free to move independent of the tank.</w:t>
      </w:r>
    </w:p>
    <w:p w14:paraId="27DF2579" w14:textId="77777777" w:rsidR="00CB2A88" w:rsidRPr="00395F1E" w:rsidRDefault="00CB2A88" w:rsidP="00CB2A88">
      <w:pPr>
        <w:pStyle w:val="ListParagraph"/>
        <w:spacing w:before="120" w:after="0" w:line="240" w:lineRule="auto"/>
        <w:ind w:left="1656"/>
        <w:contextualSpacing w:val="0"/>
        <w:rPr>
          <w:sz w:val="20"/>
          <w:szCs w:val="20"/>
        </w:rPr>
      </w:pPr>
    </w:p>
    <w:p w14:paraId="3BD31126" w14:textId="77777777" w:rsidR="00395F1E" w:rsidRPr="00395F1E" w:rsidRDefault="00395F1E" w:rsidP="00CB2A88">
      <w:pPr>
        <w:pStyle w:val="ListParagraph"/>
        <w:numPr>
          <w:ilvl w:val="2"/>
          <w:numId w:val="1"/>
        </w:numPr>
        <w:spacing w:before="120" w:after="0" w:line="240" w:lineRule="auto"/>
        <w:contextualSpacing w:val="0"/>
        <w:rPr>
          <w:sz w:val="20"/>
          <w:szCs w:val="20"/>
        </w:rPr>
      </w:pPr>
      <w:r w:rsidRPr="00395F1E">
        <w:rPr>
          <w:sz w:val="20"/>
          <w:szCs w:val="20"/>
        </w:rPr>
        <w:lastRenderedPageBreak/>
        <w:t>Optional Oil Stop Valve</w:t>
      </w:r>
    </w:p>
    <w:p w14:paraId="2B45BD71" w14:textId="77777777" w:rsidR="00395F1E" w:rsidRPr="00395F1E" w:rsidRDefault="00395F1E" w:rsidP="00CB2A88">
      <w:pPr>
        <w:pStyle w:val="ListParagraph"/>
        <w:numPr>
          <w:ilvl w:val="3"/>
          <w:numId w:val="1"/>
        </w:numPr>
        <w:spacing w:before="120" w:after="0" w:line="240" w:lineRule="auto"/>
        <w:contextualSpacing w:val="0"/>
        <w:rPr>
          <w:sz w:val="20"/>
          <w:szCs w:val="20"/>
        </w:rPr>
      </w:pPr>
      <w:r w:rsidRPr="00395F1E">
        <w:rPr>
          <w:sz w:val="20"/>
          <w:szCs w:val="20"/>
        </w:rPr>
        <w:t>The interceptor tank shall be furnished with an Oil Stop Valve.</w:t>
      </w:r>
    </w:p>
    <w:p w14:paraId="4BDD9D9E" w14:textId="6D3A3A33" w:rsidR="00302AEB" w:rsidRPr="00CB2A88" w:rsidRDefault="00395F1E" w:rsidP="00CB2A88">
      <w:pPr>
        <w:pStyle w:val="ListParagraph"/>
        <w:numPr>
          <w:ilvl w:val="3"/>
          <w:numId w:val="1"/>
        </w:numPr>
        <w:spacing w:before="120" w:after="0" w:line="240" w:lineRule="auto"/>
        <w:contextualSpacing w:val="0"/>
        <w:rPr>
          <w:sz w:val="20"/>
          <w:szCs w:val="20"/>
        </w:rPr>
      </w:pPr>
      <w:r w:rsidRPr="00395F1E">
        <w:rPr>
          <w:sz w:val="20"/>
          <w:szCs w:val="20"/>
        </w:rPr>
        <w:t>Oil Stop Valve will be sized the same as inlet and outlet pipe on the tank. The assembly wi</w:t>
      </w:r>
      <w:r w:rsidR="00CB2A88">
        <w:rPr>
          <w:sz w:val="20"/>
          <w:szCs w:val="20"/>
        </w:rPr>
        <w:t>l</w:t>
      </w:r>
      <w:r w:rsidRPr="00395F1E">
        <w:rPr>
          <w:sz w:val="20"/>
          <w:szCs w:val="20"/>
        </w:rPr>
        <w:t xml:space="preserve">l be installed and shipped with the tank for sizes of 8" diameter and less. Sizes from 10" to 14" will be test fit by the tank manufacturer but shipped </w:t>
      </w:r>
      <w:r w:rsidR="00CB2A88" w:rsidRPr="00395F1E">
        <w:rPr>
          <w:sz w:val="20"/>
          <w:szCs w:val="20"/>
        </w:rPr>
        <w:t>separately and</w:t>
      </w:r>
      <w:r w:rsidRPr="00395F1E">
        <w:rPr>
          <w:sz w:val="20"/>
          <w:szCs w:val="20"/>
        </w:rPr>
        <w:t xml:space="preserve"> installed by the Contractor at the site. The Oil Stop Valve shall be furnished with a P-trap, fiberglass platform to mount the P-trap onto, and a 4" NPT threaded coupling at the tank top that is accessible at grade to accommodate the release cable attached to the Oil Stop Valve.</w:t>
      </w:r>
    </w:p>
    <w:p w14:paraId="5C67CF21" w14:textId="77777777" w:rsidR="00826D9B" w:rsidRPr="00E628FA" w:rsidRDefault="00826D9B" w:rsidP="00CB2A88">
      <w:pPr>
        <w:pStyle w:val="ListParagraph"/>
        <w:numPr>
          <w:ilvl w:val="0"/>
          <w:numId w:val="15"/>
        </w:numPr>
        <w:spacing w:before="120" w:after="0" w:line="240" w:lineRule="auto"/>
        <w:contextualSpacing w:val="0"/>
        <w:rPr>
          <w:b/>
          <w:sz w:val="20"/>
          <w:szCs w:val="20"/>
        </w:rPr>
      </w:pPr>
      <w:r w:rsidRPr="00E628FA">
        <w:rPr>
          <w:b/>
          <w:sz w:val="20"/>
          <w:szCs w:val="20"/>
        </w:rPr>
        <w:t>EXECUTION</w:t>
      </w:r>
    </w:p>
    <w:p w14:paraId="06B4553F" w14:textId="77777777" w:rsidR="00CB2A88" w:rsidRPr="00CB2A88" w:rsidRDefault="00CB2A88" w:rsidP="00CB2A88">
      <w:pPr>
        <w:pStyle w:val="ListParagraph"/>
        <w:numPr>
          <w:ilvl w:val="1"/>
          <w:numId w:val="15"/>
        </w:numPr>
        <w:spacing w:before="120" w:after="0" w:line="240" w:lineRule="auto"/>
        <w:contextualSpacing w:val="0"/>
        <w:rPr>
          <w:sz w:val="20"/>
          <w:szCs w:val="20"/>
        </w:rPr>
      </w:pPr>
      <w:r w:rsidRPr="00CB2A88">
        <w:rPr>
          <w:sz w:val="20"/>
          <w:szCs w:val="20"/>
        </w:rPr>
        <w:t>Installation of FRP Tanks</w:t>
      </w:r>
    </w:p>
    <w:p w14:paraId="4F36F34E" w14:textId="77777777" w:rsidR="00CB2A88" w:rsidRPr="00CB2A88" w:rsidRDefault="00CB2A88" w:rsidP="00CB2A88">
      <w:pPr>
        <w:pStyle w:val="ListParagraph"/>
        <w:numPr>
          <w:ilvl w:val="2"/>
          <w:numId w:val="15"/>
        </w:numPr>
        <w:spacing w:before="120" w:after="0" w:line="240" w:lineRule="auto"/>
        <w:contextualSpacing w:val="0"/>
        <w:rPr>
          <w:sz w:val="20"/>
          <w:szCs w:val="20"/>
        </w:rPr>
      </w:pPr>
      <w:r w:rsidRPr="00CB2A88">
        <w:rPr>
          <w:sz w:val="20"/>
          <w:szCs w:val="20"/>
        </w:rPr>
        <w:t>Contractor’s personnel involved with tank system installation shall be educated by tank manufacturer.</w:t>
      </w:r>
    </w:p>
    <w:p w14:paraId="0A20D1A1" w14:textId="77777777" w:rsidR="00CB2A88" w:rsidRPr="00CB2A88" w:rsidRDefault="00CB2A88" w:rsidP="00CB2A88">
      <w:pPr>
        <w:pStyle w:val="ListParagraph"/>
        <w:numPr>
          <w:ilvl w:val="2"/>
          <w:numId w:val="15"/>
        </w:numPr>
        <w:spacing w:before="120" w:after="0" w:line="240" w:lineRule="auto"/>
        <w:contextualSpacing w:val="0"/>
        <w:rPr>
          <w:sz w:val="20"/>
          <w:szCs w:val="20"/>
        </w:rPr>
      </w:pPr>
      <w:r w:rsidRPr="00CB2A88">
        <w:rPr>
          <w:sz w:val="20"/>
          <w:szCs w:val="20"/>
        </w:rPr>
        <w:t>Contractor shall test and install tank, and accessories, according to all current installation instructions provided with tank.</w:t>
      </w:r>
    </w:p>
    <w:p w14:paraId="2816BC3F" w14:textId="77777777" w:rsidR="00CB2A88" w:rsidRPr="00CB2A88" w:rsidRDefault="00CB2A88" w:rsidP="00CB2A88">
      <w:pPr>
        <w:pStyle w:val="ListParagraph"/>
        <w:numPr>
          <w:ilvl w:val="2"/>
          <w:numId w:val="15"/>
        </w:numPr>
        <w:spacing w:before="120" w:after="0" w:line="240" w:lineRule="auto"/>
        <w:contextualSpacing w:val="0"/>
        <w:rPr>
          <w:sz w:val="20"/>
          <w:szCs w:val="20"/>
        </w:rPr>
      </w:pPr>
      <w:r w:rsidRPr="00CB2A88">
        <w:rPr>
          <w:sz w:val="20"/>
          <w:szCs w:val="20"/>
        </w:rPr>
        <w:t>Contractor is to complete the installation checklist provided by the manufacturer. A copy of the installation checklist must be retained by the tank Owner and/or installation Contractor to validate any future warranty claim.</w:t>
      </w:r>
    </w:p>
    <w:p w14:paraId="0B407D8E" w14:textId="77777777" w:rsidR="00CB2A88" w:rsidRPr="00CB2A88" w:rsidRDefault="00CB2A88" w:rsidP="00CB2A88">
      <w:pPr>
        <w:pStyle w:val="ListParagraph"/>
        <w:numPr>
          <w:ilvl w:val="2"/>
          <w:numId w:val="15"/>
        </w:numPr>
        <w:spacing w:before="120" w:after="0" w:line="240" w:lineRule="auto"/>
        <w:contextualSpacing w:val="0"/>
        <w:rPr>
          <w:sz w:val="20"/>
          <w:szCs w:val="20"/>
        </w:rPr>
      </w:pPr>
      <w:r w:rsidRPr="00CB2A88">
        <w:rPr>
          <w:sz w:val="20"/>
          <w:szCs w:val="20"/>
        </w:rPr>
        <w:t>Tanks shall be tested and installed according to the current installation instructions provided with the tank (refer to Containment Solutions pub. no.’s INST 6001).</w:t>
      </w:r>
    </w:p>
    <w:p w14:paraId="544DF7BA" w14:textId="47E12DC9" w:rsidR="00826D9B" w:rsidRPr="00E628FA" w:rsidRDefault="00826D9B" w:rsidP="00CB2A88">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035B703D" w14:textId="77777777" w:rsidR="00302AEB" w:rsidRDefault="00826D9B" w:rsidP="00CB2A88">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4BA03912" w14:textId="26EA3E0E" w:rsidR="00580F6D" w:rsidRPr="00302AEB" w:rsidRDefault="00302AEB" w:rsidP="00CB2A88">
      <w:pPr>
        <w:pStyle w:val="ListParagraph"/>
        <w:numPr>
          <w:ilvl w:val="2"/>
          <w:numId w:val="15"/>
        </w:numPr>
        <w:spacing w:before="120" w:after="0" w:line="240" w:lineRule="auto"/>
        <w:contextualSpacing w:val="0"/>
        <w:rPr>
          <w:sz w:val="20"/>
          <w:szCs w:val="20"/>
        </w:rPr>
      </w:pPr>
      <w:r w:rsidRPr="00302AEB">
        <w:rPr>
          <w:sz w:val="20"/>
          <w:szCs w:val="20"/>
        </w:rPr>
        <w:t>Limited warranty shall be Containment Solutions’ limited warranty in effect at time of delivery.</w:t>
      </w:r>
    </w:p>
    <w:p w14:paraId="73817458" w14:textId="26203943" w:rsidR="00580F6D" w:rsidRDefault="00580F6D" w:rsidP="00856D9C"/>
    <w:p w14:paraId="2867D205" w14:textId="0FF49689" w:rsidR="00E628FA" w:rsidRDefault="00E628FA" w:rsidP="00E628FA">
      <w:pPr>
        <w:spacing w:line="252" w:lineRule="auto"/>
        <w:ind w:left="111" w:right="152"/>
        <w:jc w:val="both"/>
        <w:rPr>
          <w:color w:val="231F20"/>
          <w:sz w:val="14"/>
        </w:rPr>
      </w:pPr>
    </w:p>
    <w:p w14:paraId="353FBAF8" w14:textId="68F49495" w:rsidR="00302AEB" w:rsidRDefault="00302AEB" w:rsidP="00E628FA">
      <w:pPr>
        <w:spacing w:line="252" w:lineRule="auto"/>
        <w:ind w:left="111" w:right="152"/>
        <w:jc w:val="both"/>
        <w:rPr>
          <w:color w:val="231F20"/>
          <w:sz w:val="14"/>
        </w:rPr>
      </w:pPr>
    </w:p>
    <w:p w14:paraId="09F505D4" w14:textId="17ED467F" w:rsidR="00302AEB" w:rsidRDefault="00302AEB" w:rsidP="00E628FA">
      <w:pPr>
        <w:spacing w:line="252" w:lineRule="auto"/>
        <w:ind w:left="111" w:right="152"/>
        <w:jc w:val="both"/>
        <w:rPr>
          <w:color w:val="231F20"/>
          <w:sz w:val="14"/>
        </w:rPr>
      </w:pPr>
    </w:p>
    <w:p w14:paraId="04B63D9F" w14:textId="5E66BB2D" w:rsidR="00302AEB" w:rsidRDefault="00302AEB" w:rsidP="00E628FA">
      <w:pPr>
        <w:spacing w:line="252" w:lineRule="auto"/>
        <w:ind w:left="111" w:right="152"/>
        <w:jc w:val="both"/>
        <w:rPr>
          <w:color w:val="231F20"/>
          <w:sz w:val="14"/>
        </w:rPr>
      </w:pPr>
    </w:p>
    <w:p w14:paraId="262792F4" w14:textId="573D59CE" w:rsidR="00302AEB" w:rsidRDefault="00302AEB" w:rsidP="00E628FA">
      <w:pPr>
        <w:spacing w:line="252" w:lineRule="auto"/>
        <w:ind w:left="111" w:right="152"/>
        <w:jc w:val="both"/>
        <w:rPr>
          <w:color w:val="231F20"/>
          <w:sz w:val="14"/>
        </w:rPr>
      </w:pPr>
    </w:p>
    <w:p w14:paraId="3CA211D1" w14:textId="309264C1" w:rsidR="00302AEB" w:rsidRDefault="00302AEB" w:rsidP="00E628FA">
      <w:pPr>
        <w:spacing w:line="252" w:lineRule="auto"/>
        <w:ind w:left="111" w:right="152"/>
        <w:jc w:val="both"/>
        <w:rPr>
          <w:color w:val="231F20"/>
          <w:sz w:val="14"/>
        </w:rPr>
      </w:pPr>
    </w:p>
    <w:p w14:paraId="7B30142E" w14:textId="7E832144" w:rsidR="00302AEB" w:rsidRDefault="00302AEB" w:rsidP="00E628FA">
      <w:pPr>
        <w:spacing w:line="252" w:lineRule="auto"/>
        <w:ind w:left="111" w:right="152"/>
        <w:jc w:val="both"/>
        <w:rPr>
          <w:color w:val="231F20"/>
          <w:sz w:val="14"/>
        </w:rPr>
      </w:pPr>
    </w:p>
    <w:p w14:paraId="07A037F3" w14:textId="288F1DB3" w:rsidR="00302AEB" w:rsidRDefault="00302AEB" w:rsidP="00E628FA">
      <w:pPr>
        <w:spacing w:line="252" w:lineRule="auto"/>
        <w:ind w:left="111" w:right="152"/>
        <w:jc w:val="both"/>
        <w:rPr>
          <w:color w:val="231F20"/>
          <w:sz w:val="14"/>
        </w:rPr>
      </w:pPr>
    </w:p>
    <w:p w14:paraId="15732D41" w14:textId="7E9BC630" w:rsidR="00302AEB" w:rsidRDefault="00302AEB" w:rsidP="00E628FA">
      <w:pPr>
        <w:spacing w:line="252" w:lineRule="auto"/>
        <w:ind w:left="111" w:right="152"/>
        <w:jc w:val="both"/>
        <w:rPr>
          <w:color w:val="231F20"/>
          <w:sz w:val="14"/>
        </w:rPr>
      </w:pPr>
      <w:bookmarkStart w:id="0" w:name="_GoBack"/>
      <w:bookmarkEnd w:id="0"/>
    </w:p>
    <w:p w14:paraId="390F2CC1" w14:textId="1634B1C5" w:rsidR="00302AEB" w:rsidRDefault="00302AEB" w:rsidP="00E628FA">
      <w:pPr>
        <w:spacing w:line="252" w:lineRule="auto"/>
        <w:ind w:left="111" w:right="152"/>
        <w:jc w:val="both"/>
        <w:rPr>
          <w:color w:val="231F20"/>
          <w:sz w:val="14"/>
        </w:rPr>
      </w:pPr>
    </w:p>
    <w:p w14:paraId="7E949B3E" w14:textId="2614A112" w:rsidR="00302AEB" w:rsidRDefault="00302AEB" w:rsidP="00E628FA">
      <w:pPr>
        <w:spacing w:line="252" w:lineRule="auto"/>
        <w:ind w:left="111" w:right="152"/>
        <w:jc w:val="both"/>
        <w:rPr>
          <w:color w:val="231F20"/>
          <w:sz w:val="14"/>
        </w:rPr>
      </w:pPr>
    </w:p>
    <w:p w14:paraId="0073F9A6" w14:textId="7C3CFB11" w:rsidR="00302AEB" w:rsidRDefault="00302AEB" w:rsidP="00E628FA">
      <w:pPr>
        <w:spacing w:line="252" w:lineRule="auto"/>
        <w:ind w:left="111" w:right="152"/>
        <w:jc w:val="both"/>
        <w:rPr>
          <w:color w:val="231F20"/>
          <w:sz w:val="14"/>
        </w:rPr>
      </w:pPr>
    </w:p>
    <w:p w14:paraId="4A78A9FF" w14:textId="36AD6767" w:rsidR="00302AEB" w:rsidRDefault="00302AEB" w:rsidP="00E628FA">
      <w:pPr>
        <w:spacing w:line="252" w:lineRule="auto"/>
        <w:ind w:left="111" w:right="152"/>
        <w:jc w:val="both"/>
        <w:rPr>
          <w:color w:val="231F20"/>
          <w:sz w:val="14"/>
        </w:rPr>
      </w:pPr>
    </w:p>
    <w:p w14:paraId="333D2CFD" w14:textId="77777777" w:rsidR="00CB2A88" w:rsidRDefault="00CB2A88" w:rsidP="00E628FA">
      <w:pPr>
        <w:spacing w:line="252" w:lineRule="auto"/>
        <w:ind w:left="111" w:right="152"/>
        <w:jc w:val="both"/>
        <w:rPr>
          <w:color w:val="231F20"/>
          <w:sz w:val="14"/>
        </w:rPr>
      </w:pPr>
    </w:p>
    <w:p w14:paraId="3542DE5B" w14:textId="61591A81" w:rsidR="00302AEB" w:rsidRDefault="00302AEB" w:rsidP="00E628FA">
      <w:pPr>
        <w:spacing w:line="252" w:lineRule="auto"/>
        <w:ind w:left="111" w:right="152"/>
        <w:jc w:val="both"/>
        <w:rPr>
          <w:color w:val="231F20"/>
          <w:sz w:val="14"/>
        </w:rPr>
      </w:pPr>
    </w:p>
    <w:p w14:paraId="325AB1B6" w14:textId="77777777" w:rsidR="00302AEB" w:rsidRDefault="00302AEB" w:rsidP="00E628FA">
      <w:pPr>
        <w:spacing w:line="252" w:lineRule="auto"/>
        <w:ind w:left="111" w:right="152"/>
        <w:jc w:val="both"/>
        <w:rPr>
          <w:color w:val="231F20"/>
          <w:sz w:val="14"/>
        </w:rPr>
      </w:pPr>
    </w:p>
    <w:p w14:paraId="697B554B" w14:textId="71E3397D" w:rsidR="00580F6D" w:rsidRPr="00E628FA" w:rsidRDefault="00E628FA" w:rsidP="00302AEB">
      <w:pPr>
        <w:spacing w:line="252" w:lineRule="auto"/>
        <w:ind w:left="115" w:right="158"/>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02B80465">
                <wp:simplePos x="0" y="0"/>
                <wp:positionH relativeFrom="column">
                  <wp:posOffset>923925</wp:posOffset>
                </wp:positionH>
                <wp:positionV relativeFrom="paragraph">
                  <wp:posOffset>710565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54C0E661"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CB2A88">
                              <w:rPr>
                                <w:rFonts w:eastAsia="Myriad Pro" w:cs="Myriad Pro"/>
                                <w:color w:val="231F20"/>
                                <w:sz w:val="16"/>
                                <w:szCs w:val="16"/>
                              </w:rPr>
                              <w:t>September</w:t>
                            </w:r>
                            <w:r w:rsidRPr="00E628FA">
                              <w:rPr>
                                <w:rFonts w:eastAsia="Myriad Pro" w:cs="Myriad Pro"/>
                                <w:color w:val="231F20"/>
                                <w:sz w:val="16"/>
                                <w:szCs w:val="16"/>
                              </w:rPr>
                              <w:t xml:space="preserve"> 2017 • Pub. No. OWS 20</w:t>
                            </w:r>
                            <w:r w:rsidR="00CB2A88">
                              <w:rPr>
                                <w:rFonts w:eastAsia="Myriad Pro" w:cs="Myriad Pro"/>
                                <w:color w:val="231F20"/>
                                <w:sz w:val="16"/>
                                <w:szCs w:val="16"/>
                              </w:rPr>
                              <w:t>49D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55.9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" stroked="f">
                <v:textbox style="mso-fit-shape-to-text:t">
                  <w:txbxContent>
                    <w:p w14:paraId="0574927D" w14:textId="54C0E661"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CB2A88">
                        <w:rPr>
                          <w:rFonts w:eastAsia="Myriad Pro" w:cs="Myriad Pro"/>
                          <w:color w:val="231F20"/>
                          <w:sz w:val="16"/>
                          <w:szCs w:val="16"/>
                        </w:rPr>
                        <w:t>September</w:t>
                      </w:r>
                      <w:r w:rsidRPr="00E628FA">
                        <w:rPr>
                          <w:rFonts w:eastAsia="Myriad Pro" w:cs="Myriad Pro"/>
                          <w:color w:val="231F20"/>
                          <w:sz w:val="16"/>
                          <w:szCs w:val="16"/>
                        </w:rPr>
                        <w:t xml:space="preserve"> 2017 • Pub. No. OWS 20</w:t>
                      </w:r>
                      <w:r w:rsidR="00CB2A88">
                        <w:rPr>
                          <w:rFonts w:eastAsia="Myriad Pro" w:cs="Myriad Pro"/>
                          <w:color w:val="231F20"/>
                          <w:sz w:val="16"/>
                          <w:szCs w:val="16"/>
                        </w:rPr>
                        <w:t>49D</w:t>
                      </w:r>
                    </w:p>
                  </w:txbxContent>
                </v:textbox>
                <w10:wrap type="square"/>
              </v:shape>
            </w:pict>
          </mc:Fallback>
        </mc:AlternateContent>
      </w:r>
      <w:r w:rsidRPr="007914BC">
        <w:rPr>
          <w:color w:val="231F20"/>
          <w:sz w:val="14"/>
        </w:rPr>
        <w:t>While</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has</w:t>
      </w:r>
      <w:r w:rsidRPr="007914BC">
        <w:rPr>
          <w:color w:val="231F20"/>
          <w:spacing w:val="7"/>
          <w:sz w:val="14"/>
        </w:rPr>
        <w:t xml:space="preserve"> </w:t>
      </w:r>
      <w:r w:rsidRPr="007914BC">
        <w:rPr>
          <w:color w:val="231F20"/>
          <w:spacing w:val="-3"/>
          <w:sz w:val="14"/>
        </w:rPr>
        <w:t>taken</w:t>
      </w:r>
      <w:r w:rsidRPr="007914BC">
        <w:rPr>
          <w:color w:val="231F20"/>
          <w:spacing w:val="7"/>
          <w:sz w:val="14"/>
        </w:rPr>
        <w:t xml:space="preserve"> </w:t>
      </w:r>
      <w:r w:rsidRPr="007914BC">
        <w:rPr>
          <w:color w:val="231F20"/>
          <w:sz w:val="14"/>
        </w:rPr>
        <w:t>every</w:t>
      </w:r>
      <w:r w:rsidRPr="007914BC">
        <w:rPr>
          <w:color w:val="231F20"/>
          <w:spacing w:val="7"/>
          <w:sz w:val="14"/>
        </w:rPr>
        <w:t xml:space="preserve"> </w:t>
      </w:r>
      <w:r w:rsidRPr="007914BC">
        <w:rPr>
          <w:color w:val="231F20"/>
          <w:sz w:val="14"/>
        </w:rPr>
        <w:t>precaution</w:t>
      </w:r>
      <w:r w:rsidRPr="007914BC">
        <w:rPr>
          <w:color w:val="231F20"/>
          <w:spacing w:val="7"/>
          <w:sz w:val="14"/>
        </w:rPr>
        <w:t xml:space="preserve"> </w:t>
      </w:r>
      <w:r w:rsidRPr="007914BC">
        <w:rPr>
          <w:color w:val="231F20"/>
          <w:sz w:val="14"/>
        </w:rPr>
        <w:t>as</w:t>
      </w:r>
      <w:r w:rsidRPr="007914BC">
        <w:rPr>
          <w:color w:val="231F20"/>
          <w:spacing w:val="7"/>
          <w:sz w:val="14"/>
        </w:rPr>
        <w:t xml:space="preserve"> </w:t>
      </w:r>
      <w:r w:rsidRPr="007914BC">
        <w:rPr>
          <w:color w:val="231F20"/>
          <w:sz w:val="14"/>
        </w:rPr>
        <w:t>to</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pacing w:val="-3"/>
          <w:sz w:val="14"/>
        </w:rPr>
        <w:t>accuracy</w:t>
      </w:r>
      <w:r w:rsidRPr="007914BC">
        <w:rPr>
          <w:color w:val="231F20"/>
          <w:spacing w:val="7"/>
          <w:sz w:val="14"/>
        </w:rPr>
        <w:t xml:space="preserve"> </w:t>
      </w:r>
      <w:r w:rsidRPr="007914BC">
        <w:rPr>
          <w:color w:val="231F20"/>
          <w:sz w:val="14"/>
        </w:rPr>
        <w:t>of</w:t>
      </w:r>
      <w:r w:rsidRPr="007914BC">
        <w:rPr>
          <w:color w:val="231F20"/>
          <w:spacing w:val="7"/>
          <w:sz w:val="14"/>
        </w:rPr>
        <w:t xml:space="preserve"> </w:t>
      </w:r>
      <w:r w:rsidRPr="007914BC">
        <w:rPr>
          <w:color w:val="231F20"/>
          <w:spacing w:val="-3"/>
          <w:sz w:val="14"/>
        </w:rPr>
        <w:t>content</w:t>
      </w:r>
      <w:r w:rsidRPr="007914BC">
        <w:rPr>
          <w:color w:val="231F20"/>
          <w:spacing w:val="7"/>
          <w:sz w:val="14"/>
        </w:rPr>
        <w:t xml:space="preserve"> </w:t>
      </w:r>
      <w:r w:rsidRPr="007914BC">
        <w:rPr>
          <w:color w:val="231F20"/>
          <w:sz w:val="14"/>
        </w:rPr>
        <w:t>and</w:t>
      </w:r>
      <w:r w:rsidRPr="007914BC">
        <w:rPr>
          <w:color w:val="231F20"/>
          <w:spacing w:val="7"/>
          <w:sz w:val="14"/>
        </w:rPr>
        <w:t xml:space="preserve"> </w:t>
      </w:r>
      <w:r w:rsidRPr="007914BC">
        <w:rPr>
          <w:color w:val="231F20"/>
          <w:spacing w:val="-3"/>
          <w:sz w:val="14"/>
        </w:rPr>
        <w:t>data</w:t>
      </w:r>
      <w:r w:rsidRPr="007914BC">
        <w:rPr>
          <w:color w:val="231F20"/>
          <w:spacing w:val="7"/>
          <w:sz w:val="14"/>
        </w:rPr>
        <w:t xml:space="preserve"> </w:t>
      </w:r>
      <w:r w:rsidRPr="007914BC">
        <w:rPr>
          <w:color w:val="231F20"/>
          <w:spacing w:val="-3"/>
          <w:sz w:val="14"/>
        </w:rPr>
        <w:t>presented</w:t>
      </w:r>
      <w:r w:rsidRPr="007914BC">
        <w:rPr>
          <w:color w:val="231F20"/>
          <w:spacing w:val="7"/>
          <w:sz w:val="14"/>
        </w:rPr>
        <w:t xml:space="preserve"> </w:t>
      </w:r>
      <w:r w:rsidRPr="007914BC">
        <w:rPr>
          <w:color w:val="231F20"/>
          <w:sz w:val="14"/>
        </w:rPr>
        <w:t>herein,</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cannot</w:t>
      </w:r>
      <w:r w:rsidRPr="007914BC">
        <w:rPr>
          <w:color w:val="231F20"/>
          <w:spacing w:val="7"/>
          <w:sz w:val="14"/>
        </w:rPr>
        <w:t xml:space="preserve"> </w:t>
      </w:r>
      <w:r w:rsidRPr="007914BC">
        <w:rPr>
          <w:color w:val="231F20"/>
          <w:sz w:val="14"/>
        </w:rPr>
        <w:t>be</w:t>
      </w:r>
      <w:r w:rsidRPr="007914BC">
        <w:rPr>
          <w:color w:val="231F20"/>
          <w:spacing w:val="7"/>
          <w:sz w:val="14"/>
        </w:rPr>
        <w:t xml:space="preserve"> </w:t>
      </w:r>
      <w:r w:rsidRPr="007914BC">
        <w:rPr>
          <w:color w:val="231F20"/>
          <w:sz w:val="14"/>
        </w:rPr>
        <w:t>held</w:t>
      </w:r>
      <w:r w:rsidRPr="007914BC">
        <w:rPr>
          <w:color w:val="231F20"/>
          <w:spacing w:val="7"/>
          <w:sz w:val="14"/>
        </w:rPr>
        <w:t xml:space="preserve"> </w:t>
      </w:r>
      <w:r w:rsidRPr="007914BC">
        <w:rPr>
          <w:color w:val="231F20"/>
          <w:sz w:val="14"/>
        </w:rPr>
        <w:t>responsible</w:t>
      </w:r>
      <w:r w:rsidRPr="007914BC">
        <w:rPr>
          <w:color w:val="231F20"/>
          <w:spacing w:val="7"/>
          <w:sz w:val="14"/>
        </w:rPr>
        <w:t xml:space="preserve"> </w:t>
      </w:r>
      <w:r w:rsidRPr="007914BC">
        <w:rPr>
          <w:color w:val="231F20"/>
          <w:spacing w:val="-3"/>
          <w:sz w:val="14"/>
        </w:rPr>
        <w:t>for</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z w:val="14"/>
        </w:rPr>
        <w:t>individual</w:t>
      </w:r>
      <w:r w:rsidRPr="007914BC">
        <w:rPr>
          <w:color w:val="231F20"/>
          <w:spacing w:val="-2"/>
          <w:sz w:val="14"/>
        </w:rPr>
        <w:t xml:space="preserve"> </w:t>
      </w:r>
      <w:r w:rsidRPr="007914BC">
        <w:rPr>
          <w:color w:val="231F20"/>
          <w:spacing w:val="-3"/>
          <w:sz w:val="14"/>
        </w:rPr>
        <w:t xml:space="preserve">interpretation </w:t>
      </w:r>
      <w:r w:rsidRPr="007914BC">
        <w:rPr>
          <w:color w:val="231F20"/>
          <w:sz w:val="14"/>
        </w:rPr>
        <w:t xml:space="preserve">of the </w:t>
      </w:r>
      <w:r w:rsidRPr="007914BC">
        <w:rPr>
          <w:color w:val="231F20"/>
          <w:spacing w:val="-3"/>
          <w:sz w:val="14"/>
        </w:rPr>
        <w:t xml:space="preserve">data presented, </w:t>
      </w:r>
      <w:r w:rsidRPr="007914BC">
        <w:rPr>
          <w:color w:val="231F20"/>
          <w:spacing w:val="-2"/>
          <w:sz w:val="14"/>
        </w:rPr>
        <w:t xml:space="preserve">any </w:t>
      </w:r>
      <w:r w:rsidRPr="007914BC">
        <w:rPr>
          <w:color w:val="231F20"/>
          <w:sz w:val="14"/>
        </w:rPr>
        <w:t xml:space="preserve">loss or damage to </w:t>
      </w:r>
      <w:r w:rsidRPr="007914BC">
        <w:rPr>
          <w:color w:val="231F20"/>
          <w:spacing w:val="-2"/>
          <w:sz w:val="14"/>
        </w:rPr>
        <w:t xml:space="preserve">any </w:t>
      </w:r>
      <w:r w:rsidRPr="007914BC">
        <w:rPr>
          <w:color w:val="231F20"/>
          <w:sz w:val="14"/>
        </w:rPr>
        <w:t xml:space="preserve">property </w:t>
      </w:r>
      <w:r w:rsidRPr="007914BC">
        <w:rPr>
          <w:color w:val="231F20"/>
          <w:spacing w:val="-4"/>
          <w:sz w:val="14"/>
        </w:rPr>
        <w:t xml:space="preserve">whatsoever, </w:t>
      </w:r>
      <w:r w:rsidRPr="007914BC">
        <w:rPr>
          <w:color w:val="231F20"/>
          <w:sz w:val="14"/>
        </w:rPr>
        <w:t xml:space="preserve">injury or death to </w:t>
      </w:r>
      <w:r w:rsidRPr="007914BC">
        <w:rPr>
          <w:color w:val="231F20"/>
          <w:spacing w:val="-2"/>
          <w:sz w:val="14"/>
        </w:rPr>
        <w:t xml:space="preserve">any </w:t>
      </w:r>
      <w:r w:rsidRPr="007914BC">
        <w:rPr>
          <w:color w:val="231F20"/>
          <w:sz w:val="14"/>
        </w:rPr>
        <w:t xml:space="preserve">persons </w:t>
      </w:r>
      <w:r w:rsidRPr="007914BC">
        <w:rPr>
          <w:color w:val="231F20"/>
          <w:spacing w:val="-4"/>
          <w:sz w:val="14"/>
        </w:rPr>
        <w:t xml:space="preserve">whatsoever, </w:t>
      </w:r>
      <w:r w:rsidRPr="007914BC">
        <w:rPr>
          <w:color w:val="231F20"/>
          <w:sz w:val="14"/>
        </w:rPr>
        <w:t xml:space="preserve">or </w:t>
      </w:r>
      <w:r w:rsidRPr="007914BC">
        <w:rPr>
          <w:color w:val="231F20"/>
          <w:spacing w:val="-2"/>
          <w:sz w:val="14"/>
        </w:rPr>
        <w:t xml:space="preserve">any </w:t>
      </w:r>
      <w:r w:rsidRPr="007914BC">
        <w:rPr>
          <w:color w:val="231F20"/>
          <w:sz w:val="14"/>
        </w:rPr>
        <w:t>claims, demands, actions, complaints,</w:t>
      </w:r>
      <w:r w:rsidRPr="007914BC">
        <w:rPr>
          <w:color w:val="231F20"/>
          <w:spacing w:val="-10"/>
          <w:sz w:val="14"/>
        </w:rPr>
        <w:t xml:space="preserve"> </w:t>
      </w:r>
      <w:r w:rsidRPr="007914BC">
        <w:rPr>
          <w:color w:val="231F20"/>
          <w:spacing w:val="-3"/>
          <w:sz w:val="14"/>
        </w:rPr>
        <w:t>proceedings,</w:t>
      </w:r>
      <w:r w:rsidRPr="007914BC">
        <w:rPr>
          <w:color w:val="231F20"/>
          <w:spacing w:val="-2"/>
          <w:sz w:val="14"/>
        </w:rPr>
        <w:t xml:space="preserve"> judgement,</w:t>
      </w:r>
      <w:r w:rsidRPr="007914BC">
        <w:rPr>
          <w:color w:val="231F20"/>
          <w:spacing w:val="-8"/>
          <w:sz w:val="14"/>
        </w:rPr>
        <w:t xml:space="preserve"> </w:t>
      </w:r>
      <w:r w:rsidRPr="007914BC">
        <w:rPr>
          <w:color w:val="231F20"/>
          <w:sz w:val="14"/>
        </w:rPr>
        <w:t>losses,</w:t>
      </w:r>
      <w:r w:rsidRPr="007914BC">
        <w:rPr>
          <w:color w:val="231F20"/>
          <w:spacing w:val="-8"/>
          <w:sz w:val="14"/>
        </w:rPr>
        <w:t xml:space="preserve"> </w:t>
      </w:r>
      <w:r w:rsidRPr="007914BC">
        <w:rPr>
          <w:color w:val="231F20"/>
          <w:sz w:val="14"/>
        </w:rPr>
        <w:t>damages,</w:t>
      </w:r>
      <w:r w:rsidRPr="007914BC">
        <w:rPr>
          <w:color w:val="231F20"/>
          <w:spacing w:val="-8"/>
          <w:sz w:val="14"/>
        </w:rPr>
        <w:t xml:space="preserve"> </w:t>
      </w:r>
      <w:r w:rsidRPr="007914BC">
        <w:rPr>
          <w:color w:val="231F20"/>
          <w:sz w:val="14"/>
        </w:rPr>
        <w:t>compensation,</w:t>
      </w:r>
      <w:r w:rsidRPr="007914BC">
        <w:rPr>
          <w:color w:val="231F20"/>
          <w:spacing w:val="-8"/>
          <w:sz w:val="14"/>
        </w:rPr>
        <w:t xml:space="preserve"> </w:t>
      </w:r>
      <w:r w:rsidRPr="007914BC">
        <w:rPr>
          <w:color w:val="231F20"/>
          <w:sz w:val="14"/>
        </w:rPr>
        <w:t>liabilities,</w:t>
      </w:r>
      <w:r w:rsidRPr="007914BC">
        <w:rPr>
          <w:color w:val="231F20"/>
          <w:spacing w:val="-8"/>
          <w:sz w:val="14"/>
        </w:rPr>
        <w:t xml:space="preserve"> </w:t>
      </w:r>
      <w:r w:rsidRPr="007914BC">
        <w:rPr>
          <w:color w:val="231F20"/>
          <w:sz w:val="14"/>
        </w:rPr>
        <w:t>costs</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pacing w:val="-3"/>
          <w:sz w:val="14"/>
        </w:rPr>
        <w:t>charges,</w:t>
      </w:r>
      <w:r w:rsidRPr="007914BC">
        <w:rPr>
          <w:color w:val="231F20"/>
          <w:spacing w:val="-8"/>
          <w:sz w:val="14"/>
        </w:rPr>
        <w:t xml:space="preserve"> </w:t>
      </w:r>
      <w:r w:rsidRPr="007914BC">
        <w:rPr>
          <w:color w:val="231F20"/>
          <w:spacing w:val="-3"/>
          <w:sz w:val="14"/>
        </w:rPr>
        <w:t>however</w:t>
      </w:r>
      <w:r w:rsidRPr="007914BC">
        <w:rPr>
          <w:color w:val="231F20"/>
          <w:spacing w:val="-8"/>
          <w:sz w:val="14"/>
        </w:rPr>
        <w:t xml:space="preserve"> </w:t>
      </w:r>
      <w:r w:rsidRPr="007914BC">
        <w:rPr>
          <w:color w:val="231F20"/>
          <w:sz w:val="14"/>
        </w:rPr>
        <w:t>arising</w:t>
      </w:r>
      <w:r w:rsidRPr="007914BC">
        <w:rPr>
          <w:color w:val="231F20"/>
          <w:spacing w:val="-8"/>
          <w:sz w:val="14"/>
        </w:rPr>
        <w:t xml:space="preserve"> </w:t>
      </w:r>
      <w:r w:rsidRPr="007914BC">
        <w:rPr>
          <w:color w:val="231F20"/>
          <w:sz w:val="14"/>
        </w:rPr>
        <w:t>from</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unauthorized</w:t>
      </w:r>
      <w:r w:rsidRPr="007914BC">
        <w:rPr>
          <w:color w:val="231F20"/>
          <w:spacing w:val="-8"/>
          <w:sz w:val="14"/>
        </w:rPr>
        <w:t xml:space="preserve"> </w:t>
      </w:r>
      <w:r w:rsidRPr="007914BC">
        <w:rPr>
          <w:color w:val="231F20"/>
          <w:spacing w:val="-3"/>
          <w:sz w:val="14"/>
        </w:rPr>
        <w:t>undirected</w:t>
      </w:r>
      <w:r w:rsidRPr="007914BC">
        <w:rPr>
          <w:color w:val="231F20"/>
          <w:spacing w:val="-8"/>
          <w:sz w:val="14"/>
        </w:rPr>
        <w:t xml:space="preserve"> </w:t>
      </w:r>
      <w:r w:rsidRPr="007914BC">
        <w:rPr>
          <w:color w:val="231F20"/>
          <w:sz w:val="14"/>
        </w:rPr>
        <w:t>used</w:t>
      </w:r>
      <w:r w:rsidRPr="007914BC">
        <w:rPr>
          <w:color w:val="231F20"/>
          <w:spacing w:val="-8"/>
          <w:sz w:val="14"/>
        </w:rPr>
        <w:t xml:space="preserve"> </w:t>
      </w:r>
      <w:r w:rsidRPr="007914BC">
        <w:rPr>
          <w:color w:val="231F20"/>
          <w:sz w:val="14"/>
        </w:rPr>
        <w:t>of</w:t>
      </w:r>
      <w:r w:rsidRPr="007914BC">
        <w:rPr>
          <w:color w:val="231F20"/>
          <w:spacing w:val="-8"/>
          <w:sz w:val="14"/>
        </w:rPr>
        <w:t xml:space="preserve"> </w:t>
      </w:r>
      <w:r w:rsidRPr="007914BC">
        <w:rPr>
          <w:color w:val="231F20"/>
          <w:sz w:val="14"/>
        </w:rPr>
        <w:t>this</w:t>
      </w:r>
      <w:r w:rsidRPr="007914BC">
        <w:rPr>
          <w:color w:val="231F20"/>
          <w:spacing w:val="-8"/>
          <w:sz w:val="14"/>
        </w:rPr>
        <w:t xml:space="preserve"> </w:t>
      </w:r>
      <w:r w:rsidRPr="007914BC">
        <w:rPr>
          <w:color w:val="231F20"/>
          <w:sz w:val="14"/>
        </w:rPr>
        <w:t>handbook</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data</w:t>
      </w:r>
      <w:r w:rsidRPr="007914BC">
        <w:rPr>
          <w:color w:val="231F20"/>
          <w:spacing w:val="-8"/>
          <w:sz w:val="14"/>
        </w:rPr>
        <w:t xml:space="preserve"> </w:t>
      </w:r>
      <w:r w:rsidRPr="007914BC">
        <w:rPr>
          <w:color w:val="231F20"/>
          <w:sz w:val="14"/>
        </w:rPr>
        <w:t>it</w:t>
      </w:r>
      <w:r w:rsidRPr="007914BC">
        <w:rPr>
          <w:color w:val="231F20"/>
          <w:spacing w:val="-8"/>
          <w:sz w:val="14"/>
        </w:rPr>
        <w:t xml:space="preserve"> </w:t>
      </w:r>
      <w:r w:rsidRPr="007914BC">
        <w:rPr>
          <w:color w:val="231F20"/>
          <w:spacing w:val="-3"/>
          <w:sz w:val="14"/>
        </w:rPr>
        <w:t>contains.</w: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B192427"/>
    <w:multiLevelType w:val="hybridMultilevel"/>
    <w:tmpl w:val="447013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2E5F1D98"/>
    <w:multiLevelType w:val="multilevel"/>
    <w:tmpl w:val="96C47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65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6"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0"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3"/>
  </w:num>
  <w:num w:numId="2">
    <w:abstractNumId w:val="9"/>
  </w:num>
  <w:num w:numId="3">
    <w:abstractNumId w:val="5"/>
  </w:num>
  <w:num w:numId="4">
    <w:abstractNumId w:val="7"/>
  </w:num>
  <w:num w:numId="5">
    <w:abstractNumId w:val="11"/>
  </w:num>
  <w:num w:numId="6">
    <w:abstractNumId w:val="0"/>
  </w:num>
  <w:num w:numId="7">
    <w:abstractNumId w:val="4"/>
  </w:num>
  <w:num w:numId="8">
    <w:abstractNumId w:val="1"/>
  </w:num>
  <w:num w:numId="9">
    <w:abstractNumId w:val="6"/>
  </w:num>
  <w:num w:numId="10">
    <w:abstractNumId w:val="10"/>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2AEB"/>
    <w:rsid w:val="00303519"/>
    <w:rsid w:val="00306BF7"/>
    <w:rsid w:val="0031079C"/>
    <w:rsid w:val="00323645"/>
    <w:rsid w:val="003375CC"/>
    <w:rsid w:val="00346EDC"/>
    <w:rsid w:val="0036711B"/>
    <w:rsid w:val="0038070F"/>
    <w:rsid w:val="00395040"/>
    <w:rsid w:val="00395F1E"/>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1607"/>
    <w:rsid w:val="00856A51"/>
    <w:rsid w:val="00856D9C"/>
    <w:rsid w:val="00896C6A"/>
    <w:rsid w:val="00897C44"/>
    <w:rsid w:val="008A607B"/>
    <w:rsid w:val="008B6A9B"/>
    <w:rsid w:val="008F5CF9"/>
    <w:rsid w:val="0090674B"/>
    <w:rsid w:val="00925873"/>
    <w:rsid w:val="009461C4"/>
    <w:rsid w:val="00965847"/>
    <w:rsid w:val="0099270D"/>
    <w:rsid w:val="0099775C"/>
    <w:rsid w:val="009F133A"/>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A5C78"/>
    <w:rsid w:val="00BC4881"/>
    <w:rsid w:val="00BE07FA"/>
    <w:rsid w:val="00C169E6"/>
    <w:rsid w:val="00C20179"/>
    <w:rsid w:val="00C50261"/>
    <w:rsid w:val="00C800E2"/>
    <w:rsid w:val="00CA3C21"/>
    <w:rsid w:val="00CB2A88"/>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2018-04-11T14:20:00Z</dcterms:created>
  <dcterms:modified xsi:type="dcterms:W3CDTF">2018-04-11T14:20:00Z</dcterms:modified>
</cp:coreProperties>
</file>